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1CF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b/>
          <w:color w:val="000000"/>
        </w:rPr>
      </w:pPr>
      <w:r w:rsidRPr="00810B9D">
        <w:rPr>
          <w:b/>
          <w:color w:val="000000"/>
        </w:rPr>
        <w:t>Тема 8: "</w:t>
      </w:r>
      <w:bookmarkStart w:id="0" w:name="_GoBack"/>
      <w:r w:rsidRPr="00810B9D">
        <w:rPr>
          <w:b/>
          <w:color w:val="000000"/>
        </w:rPr>
        <w:t>МЕТОДИКИ И ТЕХНОЛОГИИ УПРАВЛЕНИЯ РИСКАМИ</w:t>
      </w:r>
      <w:bookmarkEnd w:id="0"/>
      <w:r w:rsidRPr="00810B9D">
        <w:rPr>
          <w:b/>
          <w:color w:val="000000"/>
        </w:rPr>
        <w:t xml:space="preserve">"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b/>
          <w:color w:val="000000"/>
        </w:rPr>
      </w:pP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В настоящее время управление информационными рисками представляет собой одно из наиболее актуальных и динамично развивающихся направлений стратегического и оперативного менеджмента в области защиты информации.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b/>
          <w:color w:val="000000"/>
        </w:rPr>
      </w:pPr>
      <w:r w:rsidRPr="00810B9D">
        <w:rPr>
          <w:b/>
          <w:color w:val="000000"/>
        </w:rPr>
        <w:t xml:space="preserve">Его основная задача – объективно идентифицировать и оценить наиболее значимые для бизнеса информационные риски компании, а также адекватность используемых средств контроля рисков для увеличения эффективности и рентабельности экономической деятельности компании.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Поэтому под термином «управление информационными рисками» обычно понимается </w:t>
      </w:r>
      <w:r w:rsidRPr="00810B9D">
        <w:rPr>
          <w:i/>
          <w:color w:val="000000"/>
        </w:rPr>
        <w:t>системный процесс идентификации, контроля и уменьшения информационных рисков компаний в соответствии с определенными ограничениями нормативно-правовой базы в области защиты информации и собственной корпоративной политики безопасности</w:t>
      </w:r>
      <w:r w:rsidRPr="00810B9D">
        <w:rPr>
          <w:color w:val="000000"/>
        </w:rPr>
        <w:t xml:space="preserve">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Считается, что качественное управление рисками позволяет использовать оптимальные по эффективности и затратам средства контроля рисков и средства защиты информации, адекватные текущим целям и задачам бизнеса компании.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Не секрет, что сегодня наблюдается повсеместное усиление зависимости успешной бизнес деятельности отечественных компаний от используемых организационных мер и технических средств контроля и уменьшения риска.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Для эффективного управления информационными рисками разработаны специальные методики, например методики международных стандартов ISO 15408, ISO17799 (BS7799), BSI; а также национальных стандартов NIST 80030, SAC, COSO, SAS 55/78 и некоторые другие, аналогичные им.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В соответствие с этими методиками управление информационными рисками любой компании предполагает следующее.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Во-первых, определение основных целей и задач защиты информационных активов компании.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Во-вторых, создание эффективной системы оценки и управления информационными рисками.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В-третьих, расчет совокупности детализированных не только качественных, но и количественных оценок рисков, адекватных заявленным целям бизнеса.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В-четвертых, применение специального инструментария оценивания и управления рисками. Давайте рассмотрим некоторые качественные и количественные международные методики управления информационными рисками, обращая основное внимание на возможность их адаптации и применения в отечественных условиях.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b/>
          <w:i/>
          <w:color w:val="000000"/>
        </w:rPr>
      </w:pPr>
      <w:r w:rsidRPr="00810B9D">
        <w:rPr>
          <w:b/>
          <w:i/>
          <w:color w:val="000000"/>
        </w:rPr>
        <w:t xml:space="preserve">8.1 Качественные методики управления рисками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Качественные методики управления рисками приняты на вооружение в технологически развитых странах многочисленной армией внутренних и внешних IT-аудиторов. Эти методики достаточно популярны и относительно просты, и разработаны, как правило, на основе требований международного стандарта ISO 17799. В сентябре 2002 года основные положения ISO17799 были пересмотрены и дополнены с учетом развития современных информационных технологий и требований к организации режима ИБ. Сегодня это наиболее распространенный стандарт во всем мире среди организаций и предприятий, которые используют подобные стандарты на добровольной основе.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lastRenderedPageBreak/>
        <w:t xml:space="preserve">К качественным методикам управления рисками на основе требований ISO 17799 относятся методики </w:t>
      </w:r>
      <w:r w:rsidRPr="00810B9D">
        <w:rPr>
          <w:i/>
          <w:color w:val="000000"/>
        </w:rPr>
        <w:t>COBRA</w:t>
      </w:r>
      <w:r w:rsidRPr="00810B9D">
        <w:rPr>
          <w:color w:val="000000"/>
        </w:rPr>
        <w:t xml:space="preserve"> и </w:t>
      </w:r>
      <w:r w:rsidRPr="00810B9D">
        <w:rPr>
          <w:i/>
          <w:color w:val="000000"/>
        </w:rPr>
        <w:t xml:space="preserve">RA </w:t>
      </w:r>
      <w:proofErr w:type="spellStart"/>
      <w:r w:rsidRPr="00810B9D">
        <w:rPr>
          <w:i/>
          <w:color w:val="000000"/>
        </w:rPr>
        <w:t>Software</w:t>
      </w:r>
      <w:proofErr w:type="spellEnd"/>
      <w:r w:rsidRPr="00810B9D">
        <w:rPr>
          <w:i/>
          <w:color w:val="000000"/>
        </w:rPr>
        <w:t xml:space="preserve"> </w:t>
      </w:r>
      <w:proofErr w:type="spellStart"/>
      <w:r w:rsidRPr="00810B9D">
        <w:rPr>
          <w:i/>
          <w:color w:val="000000"/>
        </w:rPr>
        <w:t>Tool</w:t>
      </w:r>
      <w:proofErr w:type="spellEnd"/>
      <w:r w:rsidRPr="00810B9D">
        <w:rPr>
          <w:color w:val="000000"/>
        </w:rPr>
        <w:t xml:space="preserve"> (Инструмент Программного Обеспечения). Кратко рассмотрим названные методики.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b/>
          <w:color w:val="000000"/>
        </w:rPr>
        <w:t>COBRA</w:t>
      </w:r>
      <w:r w:rsidRPr="00810B9D">
        <w:rPr>
          <w:color w:val="000000"/>
        </w:rPr>
        <w:t xml:space="preserve">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Во второй половине 90х годов компания </w:t>
      </w:r>
      <w:r w:rsidRPr="00810B9D">
        <w:rPr>
          <w:i/>
          <w:color w:val="000000"/>
        </w:rPr>
        <w:t xml:space="preserve">C &amp; A </w:t>
      </w:r>
      <w:proofErr w:type="spellStart"/>
      <w:r w:rsidRPr="00810B9D">
        <w:rPr>
          <w:i/>
          <w:color w:val="000000"/>
        </w:rPr>
        <w:t>Systems</w:t>
      </w:r>
      <w:proofErr w:type="spellEnd"/>
      <w:r w:rsidRPr="00810B9D">
        <w:rPr>
          <w:i/>
          <w:color w:val="000000"/>
        </w:rPr>
        <w:t xml:space="preserve"> </w:t>
      </w:r>
      <w:proofErr w:type="spellStart"/>
      <w:r w:rsidRPr="00810B9D">
        <w:rPr>
          <w:i/>
          <w:color w:val="000000"/>
        </w:rPr>
        <w:t>Security</w:t>
      </w:r>
      <w:proofErr w:type="spellEnd"/>
      <w:r w:rsidRPr="00810B9D">
        <w:rPr>
          <w:i/>
          <w:color w:val="000000"/>
        </w:rPr>
        <w:t xml:space="preserve"> </w:t>
      </w:r>
      <w:proofErr w:type="spellStart"/>
      <w:r w:rsidRPr="00810B9D">
        <w:rPr>
          <w:i/>
          <w:color w:val="000000"/>
        </w:rPr>
        <w:t>Ltd</w:t>
      </w:r>
      <w:proofErr w:type="spellEnd"/>
      <w:r w:rsidRPr="00810B9D">
        <w:rPr>
          <w:color w:val="000000"/>
        </w:rPr>
        <w:t xml:space="preserve">. разработала одноименные методику и соответствующий инструментарий для анализа и управления информационными рисками под названием </w:t>
      </w:r>
      <w:r w:rsidRPr="00810B9D">
        <w:rPr>
          <w:i/>
          <w:color w:val="000000"/>
        </w:rPr>
        <w:t>COBRA</w:t>
      </w:r>
      <w:r w:rsidRPr="00810B9D">
        <w:rPr>
          <w:color w:val="000000"/>
        </w:rPr>
        <w:t xml:space="preserve">. Эта методика позволяет выполнить в автоматизированном режиме простейший вариант оценивания информационных рисков любой компании. Для этого предлагается использовать специальные электронные базы знаний и процедуры логического вывода, ориентированные на требования ISO17799. Существенно, что при желании перечень учитываемых требований можно дополнить различными требованиями отечественных нормативно-регулирующих органов, например, требованиями НД ТЗИ.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Методика </w:t>
      </w:r>
      <w:r w:rsidRPr="00810B9D">
        <w:rPr>
          <w:i/>
          <w:color w:val="000000"/>
        </w:rPr>
        <w:t>COBRA</w:t>
      </w:r>
      <w:r w:rsidRPr="00810B9D">
        <w:rPr>
          <w:color w:val="000000"/>
        </w:rPr>
        <w:t xml:space="preserve"> представляет требования стандарта ISO 17799 в виде тематических вопросников (</w:t>
      </w:r>
      <w:proofErr w:type="spellStart"/>
      <w:r w:rsidRPr="00810B9D">
        <w:rPr>
          <w:i/>
          <w:color w:val="000000"/>
        </w:rPr>
        <w:t>check</w:t>
      </w:r>
      <w:proofErr w:type="spellEnd"/>
      <w:r w:rsidRPr="00810B9D">
        <w:rPr>
          <w:i/>
          <w:color w:val="000000"/>
        </w:rPr>
        <w:t xml:space="preserve"> </w:t>
      </w:r>
      <w:proofErr w:type="spellStart"/>
      <w:r w:rsidRPr="00810B9D">
        <w:rPr>
          <w:i/>
          <w:color w:val="000000"/>
        </w:rPr>
        <w:t>list’s</w:t>
      </w:r>
      <w:proofErr w:type="spellEnd"/>
      <w:r w:rsidRPr="00810B9D">
        <w:rPr>
          <w:color w:val="000000"/>
        </w:rPr>
        <w:t xml:space="preserve">), на которые следует ответить в ходе оценки рисков информационных активов и электронных бизнес транзакций компании.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Далее введенные ответы автоматически обрабатываются, и с помощью соответствующих правил логического вывода формируется итоговый отчет c текущими оценками информационных рисков компании и рекомендациями по их управлению.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Достоинство методики – в ее простоте. Необходимо ответить на несколько десятков вопросов, затем автоматически формируется отчет.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>Этот программный продукт может применяться при проведен</w:t>
      </w:r>
      <w:proofErr w:type="gramStart"/>
      <w:r w:rsidRPr="00810B9D">
        <w:rPr>
          <w:color w:val="000000"/>
        </w:rPr>
        <w:t>ии ау</w:t>
      </w:r>
      <w:proofErr w:type="gramEnd"/>
      <w:r w:rsidRPr="00810B9D">
        <w:rPr>
          <w:color w:val="000000"/>
        </w:rPr>
        <w:t xml:space="preserve">дита ИБ или для работы специалистов служб, ответственных за обеспечение информационной безопасности.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>Простота, соответствие международному стандарту, сравнительно небольшое число вопросов позволяют легко адаптировать этот метод для работы в отечественных условиях.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b/>
          <w:color w:val="000000"/>
        </w:rPr>
        <w:t xml:space="preserve">RA </w:t>
      </w:r>
      <w:proofErr w:type="spellStart"/>
      <w:r w:rsidRPr="00810B9D">
        <w:rPr>
          <w:b/>
          <w:color w:val="000000"/>
        </w:rPr>
        <w:t>Software</w:t>
      </w:r>
      <w:proofErr w:type="spellEnd"/>
      <w:r w:rsidRPr="00810B9D">
        <w:rPr>
          <w:b/>
          <w:color w:val="000000"/>
        </w:rPr>
        <w:t xml:space="preserve"> </w:t>
      </w:r>
      <w:proofErr w:type="spellStart"/>
      <w:r w:rsidRPr="00810B9D">
        <w:rPr>
          <w:b/>
          <w:color w:val="000000"/>
        </w:rPr>
        <w:t>Tool</w:t>
      </w:r>
      <w:proofErr w:type="spellEnd"/>
      <w:r w:rsidRPr="00810B9D">
        <w:rPr>
          <w:color w:val="000000"/>
        </w:rPr>
        <w:t xml:space="preserve">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proofErr w:type="gramStart"/>
      <w:r w:rsidRPr="00810B9D">
        <w:rPr>
          <w:color w:val="000000"/>
        </w:rPr>
        <w:t xml:space="preserve">Методика и одноименное инструментальное средство </w:t>
      </w:r>
      <w:r w:rsidRPr="00810B9D">
        <w:rPr>
          <w:i/>
          <w:color w:val="000000"/>
        </w:rPr>
        <w:t xml:space="preserve">RA </w:t>
      </w:r>
      <w:proofErr w:type="spellStart"/>
      <w:r w:rsidRPr="00810B9D">
        <w:rPr>
          <w:i/>
          <w:color w:val="000000"/>
        </w:rPr>
        <w:t>Software</w:t>
      </w:r>
      <w:proofErr w:type="spellEnd"/>
      <w:r w:rsidRPr="00810B9D">
        <w:rPr>
          <w:i/>
          <w:color w:val="000000"/>
        </w:rPr>
        <w:t xml:space="preserve"> </w:t>
      </w:r>
      <w:proofErr w:type="spellStart"/>
      <w:r w:rsidRPr="00810B9D">
        <w:rPr>
          <w:i/>
          <w:color w:val="000000"/>
        </w:rPr>
        <w:t>Tool</w:t>
      </w:r>
      <w:proofErr w:type="spellEnd"/>
      <w:r w:rsidRPr="00810B9D">
        <w:rPr>
          <w:color w:val="000000"/>
        </w:rPr>
        <w:t xml:space="preserve"> основаны на требованиях международных стандартов ISO 17799 и ISO 13335 (части 3 и 4), а также на требованиях некоторых руководств Британского национального института стандартов (BSI), например, PD 3002 (Руководство по оценке и управлению рисками), PD 3003 (Оценка готовности компании к аудиту в соответствии с BS 7799), PD 3005 (Руководство по выбору системы</w:t>
      </w:r>
      <w:proofErr w:type="gramEnd"/>
      <w:r w:rsidRPr="00810B9D">
        <w:rPr>
          <w:color w:val="000000"/>
        </w:rPr>
        <w:t xml:space="preserve"> защиты) и пр.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Эта методика позволяет выполнять оценку информационных рисков (модули 4 и 5) в соответствии с требованиями ISO 17799, а при желании в соответствии с более детальными спецификациями руководства PD 3002 Британского института стандартов.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b/>
          <w:i/>
          <w:color w:val="000000"/>
        </w:rPr>
        <w:t>8.2 Количественные методики управления рисками. Метод CRAMM</w:t>
      </w:r>
      <w:r w:rsidRPr="00810B9D">
        <w:rPr>
          <w:color w:val="000000"/>
        </w:rPr>
        <w:t xml:space="preserve">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Вторую группу методик управления рисками составляют количественные методики, актуальность которых обусловлена необходимостью решения различных оптимизационных задач, которые часто возникают в реальной жизни. </w:t>
      </w:r>
      <w:r w:rsidRPr="00810B9D">
        <w:rPr>
          <w:b/>
          <w:color w:val="000000"/>
        </w:rPr>
        <w:t>Суть этих задач сводится к поиску единственного оптимального решения, из множества существующих</w:t>
      </w:r>
      <w:r w:rsidRPr="00810B9D">
        <w:rPr>
          <w:color w:val="000000"/>
        </w:rPr>
        <w:t xml:space="preserve">. </w:t>
      </w:r>
      <w:r w:rsidRPr="00810B9D">
        <w:rPr>
          <w:i/>
          <w:color w:val="000000"/>
        </w:rPr>
        <w:t>Например, необходимо ответить на следующие вопросы: «Как, оставаясь в рамках утвержденного годового (квартального) бюджета на информационную безопасность, достигнуть максимального уровня защищенности информационных активов компании?</w:t>
      </w:r>
      <w:r w:rsidRPr="00810B9D">
        <w:rPr>
          <w:color w:val="000000"/>
        </w:rPr>
        <w:t xml:space="preserve">» или «Какую из альтернатив построения </w:t>
      </w:r>
      <w:r w:rsidRPr="00810B9D">
        <w:rPr>
          <w:color w:val="000000"/>
        </w:rPr>
        <w:lastRenderedPageBreak/>
        <w:t xml:space="preserve">корпоративной защиты информации (защищенного </w:t>
      </w:r>
      <w:r w:rsidRPr="00810B9D">
        <w:rPr>
          <w:i/>
          <w:color w:val="000000"/>
        </w:rPr>
        <w:t>WWW</w:t>
      </w:r>
      <w:r w:rsidRPr="00810B9D">
        <w:rPr>
          <w:color w:val="000000"/>
        </w:rPr>
        <w:t xml:space="preserve"> сайта или корпоративной </w:t>
      </w:r>
      <w:proofErr w:type="spellStart"/>
      <w:r w:rsidRPr="00810B9D">
        <w:rPr>
          <w:i/>
          <w:color w:val="000000"/>
        </w:rPr>
        <w:t>Email</w:t>
      </w:r>
      <w:proofErr w:type="spellEnd"/>
      <w:r w:rsidRPr="00810B9D">
        <w:rPr>
          <w:color w:val="000000"/>
        </w:rPr>
        <w:t xml:space="preserve">) выбрать с учетом известных ограничений бизнес ресурсов компании?» Для решения этих задач и разрабатываются методы и методики количественной оценки и управления рисками на основе структурных и реже объектно-ориентированных методов системного анализа и проектирования (SSADM – </w:t>
      </w:r>
      <w:proofErr w:type="spellStart"/>
      <w:r w:rsidRPr="00810B9D">
        <w:rPr>
          <w:color w:val="000000"/>
        </w:rPr>
        <w:t>Structured</w:t>
      </w:r>
      <w:proofErr w:type="spellEnd"/>
      <w:r w:rsidRPr="00810B9D">
        <w:rPr>
          <w:color w:val="000000"/>
        </w:rPr>
        <w:t xml:space="preserve"> </w:t>
      </w:r>
      <w:proofErr w:type="spellStart"/>
      <w:r w:rsidRPr="00810B9D">
        <w:rPr>
          <w:color w:val="000000"/>
        </w:rPr>
        <w:t>Systems</w:t>
      </w:r>
      <w:proofErr w:type="spellEnd"/>
      <w:r w:rsidRPr="00810B9D">
        <w:rPr>
          <w:color w:val="000000"/>
        </w:rPr>
        <w:t xml:space="preserve"> </w:t>
      </w:r>
      <w:proofErr w:type="spellStart"/>
      <w:r w:rsidRPr="00810B9D">
        <w:rPr>
          <w:color w:val="000000"/>
        </w:rPr>
        <w:t>Analysis</w:t>
      </w:r>
      <w:proofErr w:type="spellEnd"/>
      <w:r w:rsidRPr="00810B9D">
        <w:rPr>
          <w:color w:val="000000"/>
        </w:rPr>
        <w:t xml:space="preserve"> </w:t>
      </w:r>
      <w:proofErr w:type="spellStart"/>
      <w:r w:rsidRPr="00810B9D">
        <w:rPr>
          <w:color w:val="000000"/>
        </w:rPr>
        <w:t>and</w:t>
      </w:r>
      <w:proofErr w:type="spellEnd"/>
      <w:r w:rsidRPr="00810B9D">
        <w:rPr>
          <w:color w:val="000000"/>
        </w:rPr>
        <w:t xml:space="preserve"> </w:t>
      </w:r>
      <w:proofErr w:type="spellStart"/>
      <w:r w:rsidRPr="00810B9D">
        <w:rPr>
          <w:color w:val="000000"/>
        </w:rPr>
        <w:t>Design</w:t>
      </w:r>
      <w:proofErr w:type="spellEnd"/>
      <w:r w:rsidRPr="00810B9D">
        <w:rPr>
          <w:color w:val="000000"/>
        </w:rPr>
        <w:t xml:space="preserve">). На практике такие методики управления рисками позволяют: </w:t>
      </w:r>
    </w:p>
    <w:p w:rsidR="004F41CF" w:rsidRPr="00810B9D" w:rsidRDefault="004F41CF" w:rsidP="004F41CF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810B9D">
        <w:rPr>
          <w:color w:val="000000"/>
        </w:rPr>
        <w:t xml:space="preserve">Создавать модели информационных активов компании с точки зрения безопасности; </w:t>
      </w:r>
    </w:p>
    <w:p w:rsidR="004F41CF" w:rsidRPr="00810B9D" w:rsidRDefault="004F41CF" w:rsidP="004F41CF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810B9D">
        <w:rPr>
          <w:color w:val="000000"/>
        </w:rPr>
        <w:t xml:space="preserve">Классифицировать и оценивать ценности активов; </w:t>
      </w:r>
    </w:p>
    <w:p w:rsidR="004F41CF" w:rsidRPr="00810B9D" w:rsidRDefault="004F41CF" w:rsidP="004F41CF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810B9D">
        <w:rPr>
          <w:color w:val="000000"/>
        </w:rPr>
        <w:t xml:space="preserve">Составлять списки наиболее значимых угроз и уязвимостей безопасности; </w:t>
      </w:r>
    </w:p>
    <w:p w:rsidR="004F41CF" w:rsidRPr="00810B9D" w:rsidRDefault="004F41CF" w:rsidP="004F41CF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810B9D">
        <w:rPr>
          <w:color w:val="000000"/>
        </w:rPr>
        <w:t xml:space="preserve">Ранжировать угрозы и уязвимости безопасности; </w:t>
      </w:r>
    </w:p>
    <w:p w:rsidR="004F41CF" w:rsidRPr="00810B9D" w:rsidRDefault="004F41CF" w:rsidP="004F41CF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810B9D">
        <w:rPr>
          <w:color w:val="000000"/>
        </w:rPr>
        <w:t xml:space="preserve">Обосновывать средства и меры контроля рисков; </w:t>
      </w:r>
    </w:p>
    <w:p w:rsidR="004F41CF" w:rsidRPr="00810B9D" w:rsidRDefault="004F41CF" w:rsidP="004F41CF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810B9D">
        <w:rPr>
          <w:color w:val="000000"/>
        </w:rPr>
        <w:t xml:space="preserve">Оценивать эффективность/стоимость различных вариантов защиты; </w:t>
      </w:r>
    </w:p>
    <w:p w:rsidR="004F41CF" w:rsidRPr="00810B9D" w:rsidRDefault="004F41CF" w:rsidP="004F41CF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810B9D">
        <w:rPr>
          <w:color w:val="000000"/>
        </w:rPr>
        <w:t xml:space="preserve">Формализовать и автоматизировать процедуры оценивания и управления рисками.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Одной из наиболее известных методик этого класса является методика CRAMM.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b/>
          <w:color w:val="000000"/>
        </w:rPr>
      </w:pPr>
      <w:r w:rsidRPr="00810B9D">
        <w:rPr>
          <w:color w:val="000000"/>
        </w:rPr>
        <w:t xml:space="preserve">Метод </w:t>
      </w:r>
      <w:r w:rsidRPr="00810B9D">
        <w:rPr>
          <w:b/>
          <w:color w:val="000000"/>
        </w:rPr>
        <w:t>CRAMM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В 1985 году Центральное агентство по компьютерам и телекоммуникациям (CCTA) Великобритании начало исследования существующих методов управления информационной безопасностью для выдачи рекомендаций по их использованию в правительственных организациях, обрабатывающих конфиденциальную информацию. Ни один из рассмотренных методов не подошел. Поэтому сначала был создан метод, а затем одноименная методика CRAMM (анализа и контроля рисков), соответствующая требованиям CCTA. Затем появилось несколько версий методики, ориентированных на требования различных государственных и коммерческих организаций и структур. Одна из версий «коммерческого профиля» широко распространилась на рынке средств защиты информации.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b/>
          <w:color w:val="000000"/>
        </w:rPr>
        <w:t>Основными целями методики CRAMM являются:</w:t>
      </w:r>
      <w:r w:rsidRPr="00810B9D">
        <w:rPr>
          <w:color w:val="000000"/>
        </w:rPr>
        <w:t xml:space="preserve"> </w:t>
      </w:r>
    </w:p>
    <w:p w:rsidR="004F41CF" w:rsidRPr="00810B9D" w:rsidRDefault="004F41CF" w:rsidP="004F41CF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810B9D">
        <w:rPr>
          <w:color w:val="000000"/>
        </w:rPr>
        <w:t xml:space="preserve">Формализация и автоматизация процедур анализа и управления рисками; </w:t>
      </w:r>
    </w:p>
    <w:p w:rsidR="004F41CF" w:rsidRPr="00810B9D" w:rsidRDefault="004F41CF" w:rsidP="004F41CF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810B9D">
        <w:rPr>
          <w:color w:val="000000"/>
        </w:rPr>
        <w:t xml:space="preserve">Оптимизация расходов на средства контроля и защиты; </w:t>
      </w:r>
    </w:p>
    <w:p w:rsidR="004F41CF" w:rsidRPr="00810B9D" w:rsidRDefault="004F41CF" w:rsidP="004F41CF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810B9D">
        <w:rPr>
          <w:color w:val="000000"/>
        </w:rPr>
        <w:t xml:space="preserve">Комплексное планирование и управление рисками на всех стадиях жизненного цикла информационных систем; </w:t>
      </w:r>
    </w:p>
    <w:p w:rsidR="004F41CF" w:rsidRPr="00810B9D" w:rsidRDefault="004F41CF" w:rsidP="004F41CF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810B9D">
        <w:rPr>
          <w:color w:val="000000"/>
        </w:rPr>
        <w:t xml:space="preserve">Сокращение времени на разработку и сопровождение корпоративной системы защиты информации; </w:t>
      </w:r>
    </w:p>
    <w:p w:rsidR="004F41CF" w:rsidRPr="00810B9D" w:rsidRDefault="004F41CF" w:rsidP="004F41CF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810B9D">
        <w:rPr>
          <w:color w:val="000000"/>
        </w:rPr>
        <w:t xml:space="preserve">Обоснование эффективности предлагаемых мер защиты и средств контроля; </w:t>
      </w:r>
    </w:p>
    <w:p w:rsidR="004F41CF" w:rsidRPr="00810B9D" w:rsidRDefault="004F41CF" w:rsidP="004F41CF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810B9D">
        <w:rPr>
          <w:color w:val="000000"/>
        </w:rPr>
        <w:t xml:space="preserve">Управление изменениями и инцидентами; </w:t>
      </w:r>
    </w:p>
    <w:p w:rsidR="004F41CF" w:rsidRPr="00810B9D" w:rsidRDefault="004F41CF" w:rsidP="004F41CF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810B9D">
        <w:rPr>
          <w:color w:val="000000"/>
        </w:rPr>
        <w:t xml:space="preserve">Поддержка непрерывности бизнеса; </w:t>
      </w:r>
    </w:p>
    <w:p w:rsidR="004F41CF" w:rsidRPr="00810B9D" w:rsidRDefault="004F41CF" w:rsidP="004F41CF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810B9D">
        <w:rPr>
          <w:color w:val="000000"/>
        </w:rPr>
        <w:t xml:space="preserve">Оперативное принятие решений по вопросам управления безопасностью и пр.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Управление рисками в методике </w:t>
      </w:r>
      <w:proofErr w:type="gramStart"/>
      <w:r w:rsidRPr="00810B9D">
        <w:rPr>
          <w:color w:val="000000"/>
        </w:rPr>
        <w:t>С</w:t>
      </w:r>
      <w:proofErr w:type="gramEnd"/>
      <w:r w:rsidRPr="00810B9D">
        <w:rPr>
          <w:color w:val="000000"/>
        </w:rPr>
        <w:t xml:space="preserve">RAMM осуществляется в несколько этапов (рис. 6).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noProof/>
        </w:rPr>
      </w:pP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b/>
          <w:i/>
          <w:color w:val="000000"/>
        </w:rPr>
      </w:pPr>
      <w:r w:rsidRPr="00810B9D">
        <w:rPr>
          <w:noProof/>
        </w:rPr>
        <w:lastRenderedPageBreak/>
        <w:drawing>
          <wp:inline distT="0" distB="0" distL="0" distR="0" wp14:anchorId="54219EAB" wp14:editId="28D0EF19">
            <wp:extent cx="5327813" cy="1637732"/>
            <wp:effectExtent l="0" t="0" r="635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556" t="51374" r="27392" b="17646"/>
                    <a:stretch/>
                  </pic:blipFill>
                  <pic:spPr bwMode="auto">
                    <a:xfrm>
                      <a:off x="0" y="0"/>
                      <a:ext cx="5328494" cy="1637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b/>
          <w:i/>
          <w:color w:val="000000"/>
        </w:rPr>
        <w:t xml:space="preserve">Рис. 6 Управление рисками в методике </w:t>
      </w:r>
      <w:proofErr w:type="gramStart"/>
      <w:r w:rsidRPr="00810B9D">
        <w:rPr>
          <w:b/>
          <w:i/>
          <w:color w:val="000000"/>
        </w:rPr>
        <w:t>С</w:t>
      </w:r>
      <w:proofErr w:type="gramEnd"/>
      <w:r w:rsidRPr="00810B9D">
        <w:rPr>
          <w:b/>
          <w:i/>
          <w:color w:val="000000"/>
        </w:rPr>
        <w:t>RAMM</w:t>
      </w:r>
      <w:r w:rsidRPr="00810B9D">
        <w:rPr>
          <w:color w:val="000000"/>
        </w:rPr>
        <w:t xml:space="preserve">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>На первом этапе инициации - «</w:t>
      </w:r>
      <w:proofErr w:type="spellStart"/>
      <w:r w:rsidRPr="00810B9D">
        <w:rPr>
          <w:color w:val="000000"/>
        </w:rPr>
        <w:t>Initiation</w:t>
      </w:r>
      <w:proofErr w:type="spellEnd"/>
      <w:r w:rsidRPr="00810B9D">
        <w:rPr>
          <w:color w:val="000000"/>
        </w:rPr>
        <w:t xml:space="preserve">» - определяются границы исследуемой информационной системы компании, состав и структура ее основных информационных активов и транзакций.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>На этапе идентификации и оценки ресурсов - «</w:t>
      </w:r>
      <w:proofErr w:type="spellStart"/>
      <w:r w:rsidRPr="00810B9D">
        <w:rPr>
          <w:color w:val="000000"/>
        </w:rPr>
        <w:t>Identification</w:t>
      </w:r>
      <w:proofErr w:type="spellEnd"/>
      <w:r w:rsidRPr="00810B9D">
        <w:rPr>
          <w:color w:val="000000"/>
        </w:rPr>
        <w:t xml:space="preserve"> </w:t>
      </w:r>
      <w:proofErr w:type="spellStart"/>
      <w:r w:rsidRPr="00810B9D">
        <w:rPr>
          <w:color w:val="000000"/>
        </w:rPr>
        <w:t>and</w:t>
      </w:r>
      <w:proofErr w:type="spellEnd"/>
      <w:r w:rsidRPr="00810B9D">
        <w:rPr>
          <w:color w:val="000000"/>
        </w:rPr>
        <w:t xml:space="preserve"> </w:t>
      </w:r>
      <w:proofErr w:type="spellStart"/>
      <w:r w:rsidRPr="00810B9D">
        <w:rPr>
          <w:color w:val="000000"/>
        </w:rPr>
        <w:t>Valuation</w:t>
      </w:r>
      <w:proofErr w:type="spellEnd"/>
      <w:r w:rsidRPr="00810B9D">
        <w:rPr>
          <w:color w:val="000000"/>
        </w:rPr>
        <w:t xml:space="preserve"> </w:t>
      </w:r>
      <w:proofErr w:type="spellStart"/>
      <w:r w:rsidRPr="00810B9D">
        <w:rPr>
          <w:color w:val="000000"/>
        </w:rPr>
        <w:t>of</w:t>
      </w:r>
      <w:proofErr w:type="spellEnd"/>
      <w:r w:rsidRPr="00810B9D">
        <w:rPr>
          <w:color w:val="000000"/>
        </w:rPr>
        <w:t xml:space="preserve"> </w:t>
      </w:r>
      <w:proofErr w:type="spellStart"/>
      <w:r w:rsidRPr="00810B9D">
        <w:rPr>
          <w:color w:val="000000"/>
        </w:rPr>
        <w:t>Assets</w:t>
      </w:r>
      <w:proofErr w:type="spellEnd"/>
      <w:r w:rsidRPr="00810B9D">
        <w:rPr>
          <w:color w:val="000000"/>
        </w:rPr>
        <w:t xml:space="preserve">» - четко идентифицируются активы, и определяется их стоимость. Расчет стоимости информационных активов однозначно позволяет определить необходимость и достаточность предлагаемых средств контроля и защиты.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>На этапе оценивания угроз и уязвимостей - «</w:t>
      </w:r>
      <w:proofErr w:type="spellStart"/>
      <w:r w:rsidRPr="00810B9D">
        <w:rPr>
          <w:color w:val="000000"/>
        </w:rPr>
        <w:t>Threat</w:t>
      </w:r>
      <w:proofErr w:type="spellEnd"/>
      <w:r w:rsidRPr="00810B9D">
        <w:rPr>
          <w:color w:val="000000"/>
        </w:rPr>
        <w:t xml:space="preserve"> </w:t>
      </w:r>
      <w:proofErr w:type="spellStart"/>
      <w:r w:rsidRPr="00810B9D">
        <w:rPr>
          <w:color w:val="000000"/>
        </w:rPr>
        <w:t>and</w:t>
      </w:r>
      <w:proofErr w:type="spellEnd"/>
      <w:r w:rsidRPr="00810B9D">
        <w:rPr>
          <w:color w:val="000000"/>
        </w:rPr>
        <w:t xml:space="preserve"> </w:t>
      </w:r>
      <w:proofErr w:type="spellStart"/>
      <w:r w:rsidRPr="00810B9D">
        <w:rPr>
          <w:color w:val="000000"/>
        </w:rPr>
        <w:t>Vulnerability</w:t>
      </w:r>
      <w:proofErr w:type="spellEnd"/>
      <w:r w:rsidRPr="00810B9D">
        <w:rPr>
          <w:color w:val="000000"/>
        </w:rPr>
        <w:t xml:space="preserve"> </w:t>
      </w:r>
      <w:proofErr w:type="spellStart"/>
      <w:r w:rsidRPr="00810B9D">
        <w:rPr>
          <w:color w:val="000000"/>
        </w:rPr>
        <w:t>Assessment</w:t>
      </w:r>
      <w:proofErr w:type="spellEnd"/>
      <w:r w:rsidRPr="00810B9D">
        <w:rPr>
          <w:color w:val="000000"/>
        </w:rPr>
        <w:t xml:space="preserve">» - идентифицируются и оцениваются угрозы и уязвимости информационных активов компании.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>Этап анализа рисков - «</w:t>
      </w:r>
      <w:proofErr w:type="spellStart"/>
      <w:r w:rsidRPr="00810B9D">
        <w:rPr>
          <w:color w:val="000000"/>
        </w:rPr>
        <w:t>Risk</w:t>
      </w:r>
      <w:proofErr w:type="spellEnd"/>
      <w:r w:rsidRPr="00810B9D">
        <w:rPr>
          <w:color w:val="000000"/>
        </w:rPr>
        <w:t xml:space="preserve"> </w:t>
      </w:r>
      <w:proofErr w:type="spellStart"/>
      <w:r w:rsidRPr="00810B9D">
        <w:rPr>
          <w:color w:val="000000"/>
        </w:rPr>
        <w:t>Analysis</w:t>
      </w:r>
      <w:proofErr w:type="spellEnd"/>
      <w:r w:rsidRPr="00810B9D">
        <w:rPr>
          <w:color w:val="000000"/>
        </w:rPr>
        <w:t xml:space="preserve">» - позволяет получить качественные и количественные оценки рисков.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>На этапе управления рисками - «</w:t>
      </w:r>
      <w:proofErr w:type="spellStart"/>
      <w:r w:rsidRPr="00810B9D">
        <w:rPr>
          <w:color w:val="000000"/>
        </w:rPr>
        <w:t>Risk</w:t>
      </w:r>
      <w:proofErr w:type="spellEnd"/>
      <w:r w:rsidRPr="00810B9D">
        <w:rPr>
          <w:color w:val="000000"/>
        </w:rPr>
        <w:t xml:space="preserve"> </w:t>
      </w:r>
      <w:proofErr w:type="spellStart"/>
      <w:r w:rsidRPr="00810B9D">
        <w:rPr>
          <w:color w:val="000000"/>
        </w:rPr>
        <w:t>management</w:t>
      </w:r>
      <w:proofErr w:type="spellEnd"/>
      <w:r w:rsidRPr="00810B9D">
        <w:rPr>
          <w:color w:val="000000"/>
        </w:rPr>
        <w:t xml:space="preserve">» - предлагаются меры и средства уменьшения или уклонения от риска.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Рассмотрим возможности CRAMM на следующем примере. Пусть проводится оценка информационных рисков следующей корпоративной информационной системы (рис. 7).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noProof/>
        </w:rPr>
        <w:drawing>
          <wp:inline distT="0" distB="0" distL="0" distR="0" wp14:anchorId="539F8CB1" wp14:editId="2AE557A4">
            <wp:extent cx="4653887" cy="360063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207" t="19608" r="33136" b="22745"/>
                    <a:stretch/>
                  </pic:blipFill>
                  <pic:spPr bwMode="auto">
                    <a:xfrm>
                      <a:off x="0" y="0"/>
                      <a:ext cx="4654486" cy="3601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b/>
          <w:i/>
          <w:color w:val="000000"/>
        </w:rPr>
        <w:lastRenderedPageBreak/>
        <w:t>Рис.7 Оценка информационных рисков информационной системы</w:t>
      </w:r>
      <w:r w:rsidRPr="00810B9D">
        <w:rPr>
          <w:color w:val="000000"/>
        </w:rPr>
        <w:t xml:space="preserve">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В этой схеме условно выделим следующие элементы системы: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- рабочие места, на которых операторы вводят информацию, поступающую из внешнего мира;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- почтовый сервер, на который информация поступает с удаленных узлов сети через Интернет;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- сервер обработки, на котором установлена СУБД;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- сервер резервного копирования;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- рабочие места группы оперативного реагирования;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- рабочее место администратора безопасности;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- рабочее место администратора БД.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Функционирование системы осуществляется следующим образом. Данные, введенные с рабочих мест пользователей и поступившие на почтовый сервер, направляются на сервер корпоративной обработки данных. Затем данные поступают на рабочие места группы оперативного реагирования и там принимаются соответствующие решения.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Давайте теперь проведем анализ рисков с помощью методики CRAMM и предложим некоторые средства контроля и управления рисками, адекватные целям и задачам бизнеса компании.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b/>
          <w:color w:val="000000"/>
        </w:rPr>
        <w:t>Определение границ исследования</w:t>
      </w:r>
      <w:r w:rsidRPr="00810B9D">
        <w:rPr>
          <w:color w:val="000000"/>
        </w:rPr>
        <w:t xml:space="preserve">. Этап начинается с решения задачи определения границ исследуемой системы. Для этого собирается следующая информация: ответственные за физические и программные ресурсы; кто является пользователем и как пользователи применяют или будут использовать систему; конфигурация системы. Первичная информация собирается в процессе бесед с менеджерами проектов, менеджером пользователей или другими сотрудниками.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b/>
          <w:color w:val="000000"/>
        </w:rPr>
        <w:t>Идентификация ресурсов и построение модели системы с точки зрения ИБ.</w:t>
      </w:r>
      <w:r w:rsidRPr="00810B9D">
        <w:rPr>
          <w:color w:val="000000"/>
        </w:rPr>
        <w:t xml:space="preserve"> Проводится идентификация ресурсов: материальных, программных и информационных, содержащихся внутри границ системы. Каждый ресурс необходимо отнести к одному из предопределенных классов. Классификация физических ресурсов приводится в приложении. Затем строится модель информационной системы с точки зрения ИБ. Для каждого информационного процесса, имеющего самостоятельное значение с точки зрения пользователя и называемого пользовательским сервисом (</w:t>
      </w:r>
      <w:proofErr w:type="spellStart"/>
      <w:r w:rsidRPr="00810B9D">
        <w:rPr>
          <w:i/>
          <w:color w:val="000000"/>
        </w:rPr>
        <w:t>EndUserService</w:t>
      </w:r>
      <w:proofErr w:type="spellEnd"/>
      <w:r w:rsidRPr="00810B9D">
        <w:rPr>
          <w:color w:val="000000"/>
        </w:rPr>
        <w:t xml:space="preserve">), строится дерево связей используемых ресурсов. В рассматриваемом примере будет единственный подобный сервис (рис. 8). Построенная модель позволяет выделить критичные элементы. </w:t>
      </w:r>
    </w:p>
    <w:p w:rsidR="004F41CF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b/>
          <w:i/>
          <w:color w:val="000000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59275C85" wp14:editId="56154756">
            <wp:simplePos x="0" y="0"/>
            <wp:positionH relativeFrom="page">
              <wp:posOffset>1404620</wp:posOffset>
            </wp:positionH>
            <wp:positionV relativeFrom="paragraph">
              <wp:posOffset>69850</wp:posOffset>
            </wp:positionV>
            <wp:extent cx="3119755" cy="2370455"/>
            <wp:effectExtent l="0" t="0" r="4445" b="0"/>
            <wp:wrapTopAndBottom/>
            <wp:docPr id="68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b/>
          <w:i/>
          <w:color w:val="000000"/>
        </w:rPr>
      </w:pPr>
      <w:r w:rsidRPr="00810B9D">
        <w:rPr>
          <w:b/>
          <w:i/>
          <w:color w:val="000000"/>
        </w:rPr>
        <w:t>Рис.8</w:t>
      </w:r>
      <w:r>
        <w:rPr>
          <w:b/>
          <w:i/>
          <w:color w:val="000000"/>
        </w:rPr>
        <w:t xml:space="preserve"> Д</w:t>
      </w:r>
      <w:r w:rsidRPr="00810B9D">
        <w:rPr>
          <w:b/>
          <w:i/>
          <w:color w:val="000000"/>
        </w:rPr>
        <w:t xml:space="preserve">ерево связей используемых ресурсов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b/>
          <w:color w:val="000000"/>
        </w:rPr>
        <w:t>Ценность ресурсов</w:t>
      </w:r>
      <w:r w:rsidRPr="00810B9D">
        <w:rPr>
          <w:color w:val="000000"/>
        </w:rPr>
        <w:t xml:space="preserve">. Методика позволяет определить ценность ресурсов. Этот шаг является обязательным в полном варианте анализа рисков. Ценность физических ресурсов в данном методе определяется ценой их восстановления в случае разрушения.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Ценность данных и программного обеспечения определяется в следующих ситуациях: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- недоступность ресурса в течение определенного периода времени;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- разрушение ресурса – потеря информации, полученной со времени последнего резервного копирования или ее полное разрушение;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- нарушение конфиденциальности в случаях несанкционированного доступа штатных сотрудников или посторонних лиц;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- модификация рассматривается для случаев мелких ошибок персонала (ошибки ввода), программных ошибок, преднамеренных ошибок;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- ошибки, связанные с передачей информации: отказ от доставки, недоставка информации, доставка по неверному адресу.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Для оценки возможного ущерба предлагается использовать следующие критерии: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- ущерб репутации организации;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- нарушение действующего законодательства;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- ущерб для здоровья персонала;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- ущерб, связанный с разглашением персональных данных отдельных лиц;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- финансовые потери от разглашения информации;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- финансовые потери, связанные с восстановлением ресурсов;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- потери, связанные с невозможностью выполнения обязательств;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- дезорганизация деятельности.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Приведенная совокупность критериев используется в коммерческом варианте метода (профиль </w:t>
      </w:r>
      <w:proofErr w:type="spellStart"/>
      <w:r w:rsidRPr="00810B9D">
        <w:rPr>
          <w:i/>
          <w:color w:val="000000"/>
        </w:rPr>
        <w:t>Standard</w:t>
      </w:r>
      <w:proofErr w:type="spellEnd"/>
      <w:r w:rsidRPr="00810B9D">
        <w:rPr>
          <w:color w:val="000000"/>
        </w:rPr>
        <w:t xml:space="preserve">). В других версиях совокупность будет иной, например, в версии, используемой в правительственных учреждениях, добавляются параметры, отражающие такие области, как национальная безопасность и международные отношения.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lastRenderedPageBreak/>
        <w:t xml:space="preserve">Для данных и программного обеспечения выбираются применимые к данной ИС критерии, дается оценка ущерба по шкале со значениями от 1 до 10. К примеру, если данные содержат подробности коммерческой конфиденциальной (критичной) информации, эксперт, проводящий исследование, задает вопрос: как может повлиять на организацию несанкционированный доступ посторонних лиц к этой информации?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Возможен такой ответ: провал сразу по нескольким параметрам из перечисленных выше, причем каждый аспект следовало бы рассмотреть подробнее и присвоить </w:t>
      </w:r>
      <w:proofErr w:type="gramStart"/>
      <w:r w:rsidRPr="00810B9D">
        <w:rPr>
          <w:color w:val="000000"/>
        </w:rPr>
        <w:t>самую</w:t>
      </w:r>
      <w:proofErr w:type="gramEnd"/>
      <w:r w:rsidRPr="00810B9D">
        <w:rPr>
          <w:color w:val="000000"/>
        </w:rPr>
        <w:t xml:space="preserve"> высокую из возможных оценок.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Затем разрабатываются шкалы для выбранной системы параметров. Они могут выглядеть следующим образом.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  <w:u w:val="single"/>
        </w:rPr>
        <w:t>Ущерб репутации организации</w:t>
      </w:r>
      <w:r w:rsidRPr="00810B9D">
        <w:rPr>
          <w:color w:val="000000"/>
        </w:rPr>
        <w:t xml:space="preserve">: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2 – негативная реакция отдельных чиновников, общественных деятелей;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4 – критика в средствах массовой информации, не имеющая широкого общественного резонанса;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6 – негативная реакция отдельных депутатов Верховной Рады Украины;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8 – критика в средствах массовой информации, имеющая последствия в виде крупных скандалов, парламентских слушаний, широкомасштабных проверок и т. п.;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10 – негативная реакция на уровне Президента и Правительства.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  <w:u w:val="single"/>
        </w:rPr>
      </w:pPr>
      <w:r w:rsidRPr="00810B9D">
        <w:rPr>
          <w:color w:val="000000"/>
          <w:u w:val="single"/>
        </w:rPr>
        <w:t xml:space="preserve">Ущерб для здоровья персонала: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>2 – минимальный ущерб (последствия не связаны с госпитализаций или длительным лечением);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4 – ущерб среднего размера (необходимо лечение для одного или нескольких сотрудников, но длительных отрицательных последствий нет);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6 – серьезные последствия (длительная госпитализация, инвалидность одного или нескольких сотрудников);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10 – гибель людей.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  <w:u w:val="single"/>
        </w:rPr>
        <w:t>Финансовые потери, связанные с восстановлением ресурсов</w:t>
      </w:r>
      <w:r w:rsidRPr="00810B9D">
        <w:rPr>
          <w:color w:val="000000"/>
        </w:rPr>
        <w:t>: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2 – менее $1000;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6 – от $1000 до $10 000;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>8 – от $10000 до $100000</w:t>
      </w:r>
      <w:proofErr w:type="gramStart"/>
      <w:r w:rsidRPr="00810B9D">
        <w:rPr>
          <w:color w:val="000000"/>
        </w:rPr>
        <w:t xml:space="preserve"> ;</w:t>
      </w:r>
      <w:proofErr w:type="gramEnd"/>
      <w:r w:rsidRPr="00810B9D">
        <w:rPr>
          <w:color w:val="000000"/>
        </w:rPr>
        <w:t xml:space="preserve">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>10 – свыше $100000.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  <w:u w:val="single"/>
        </w:rPr>
        <w:t>Дезорганизация деятельности в связи с недоступностью данных</w:t>
      </w:r>
      <w:r w:rsidRPr="00810B9D">
        <w:rPr>
          <w:color w:val="000000"/>
        </w:rPr>
        <w:t xml:space="preserve">: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2 – отсутствие доступа к информации до 15 минут;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4 – отсутствие доступа к информации до 1 часа;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6 – отсутствие доступа к информации до 3 часов;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8 – отсутствие доступа к информации от 12 часов;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10 – отсутствие доступа к информации более суток.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proofErr w:type="gramStart"/>
      <w:r w:rsidRPr="00810B9D">
        <w:rPr>
          <w:color w:val="000000"/>
        </w:rPr>
        <w:t>Далее рассматриваются основные сценарии, приводящие к различным негативным последствиям, описываемым в терминах выбранных параметров (рис.9.</w:t>
      </w:r>
      <w:proofErr w:type="gramEnd"/>
      <w:r w:rsidRPr="00810B9D">
        <w:rPr>
          <w:color w:val="000000"/>
        </w:rPr>
        <w:t xml:space="preserve"> - </w:t>
      </w:r>
      <w:proofErr w:type="gramStart"/>
      <w:r w:rsidRPr="00810B9D">
        <w:rPr>
          <w:color w:val="000000"/>
        </w:rPr>
        <w:t xml:space="preserve">Оценка ценности информационных ресурсов). </w:t>
      </w:r>
      <w:proofErr w:type="gramEnd"/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</w:rPr>
      </w:pPr>
      <w:r w:rsidRPr="00810B9D">
        <w:rPr>
          <w:noProof/>
        </w:rPr>
        <w:lastRenderedPageBreak/>
        <w:drawing>
          <wp:inline distT="0" distB="0" distL="0" distR="0" wp14:anchorId="1B5092FC" wp14:editId="7D23946D">
            <wp:extent cx="5786651" cy="383222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097" t="13333" r="17511" b="8235"/>
                    <a:stretch/>
                  </pic:blipFill>
                  <pic:spPr bwMode="auto">
                    <a:xfrm>
                      <a:off x="0" y="0"/>
                      <a:ext cx="5787395" cy="3832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b/>
          <w:i/>
          <w:color w:val="000000"/>
        </w:rPr>
      </w:pPr>
      <w:r w:rsidRPr="00810B9D">
        <w:rPr>
          <w:b/>
          <w:i/>
          <w:color w:val="000000"/>
        </w:rPr>
        <w:t xml:space="preserve">Рис.9 Оценка ценности информационных ресурсов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На этом этапе может быть подготовлено несколько типов отчетов (границы системы, модель, определение ценности ресурсов). Если ценности ресурсов низкие, можно использовать базовый вариант защиты. В таком случае исследователь может перейти от этой стадии сразу к стадии анализа рисков. Однако для адекватного учета потенциального воздействия какой-либо угрозы, уязвимости или комбинации угроз и уязвимостей, которые имеют высокие уровни, следует использовать сокращенную версию стадии оценки угроз и уязвимостей. Это позволяет разработать более эффективную систему защиты информации компании.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На этапе оценивания угроз и уязвимостей оцениваются зависимости пользовательских сервисов от определенных групп ресурсов и существующий уровень угроз и уязвимостей.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>Далее активы компании группируются с точки зрения угроз и уязвимостей. Например, в случае наличия угрозы пожара или кражи, в качестве группы ресурсов разумно рассмотреть все ресурсы, находящиеся в одном месте (серверный зал, комната сре</w:t>
      </w:r>
      <w:proofErr w:type="gramStart"/>
      <w:r w:rsidRPr="00810B9D">
        <w:rPr>
          <w:color w:val="000000"/>
        </w:rPr>
        <w:t>дств св</w:t>
      </w:r>
      <w:proofErr w:type="gramEnd"/>
      <w:r w:rsidRPr="00810B9D">
        <w:rPr>
          <w:color w:val="000000"/>
        </w:rPr>
        <w:t xml:space="preserve">язи и т. д.).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Программное обеспечение CRAMM для каждой группы ресурсов и каждого из 36 типов угроз генерирует список вопросов, допускающих однозначный ответ. Уровень угроз оценивается, в зависимости от ответов, как очень высокий, высокий, средний, низкий и очень низкий. Уровень уязвимости оценивается, в зависимости от ответов, как высокий, средний и низкий.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На основе этой информации рассчитываются уровни рисков в дискретной шкале с градациями от 1 до 7. Полученные уровни угроз, уязвимостей и рисков анализируются и согласовываются с заказчиком.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CRAMM объединяет угрозы и уязвимости в матрице риска. Рассмотрим, как получается эта матрица, и что каждый из уровней риска означает.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>Основной подход, для решения этой проблемы состоит в рассмотрении: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lastRenderedPageBreak/>
        <w:t xml:space="preserve">- уровня угрозы (шкала приведена в табл. 1);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- уровня уязвимости (шкала приведена в табл. 2);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- размера ожидаемых финансовых потерь (пример на рис. 10). </w:t>
      </w:r>
    </w:p>
    <w:p w:rsidR="004F41CF" w:rsidRDefault="004F41CF" w:rsidP="004F41CF">
      <w:pPr>
        <w:pStyle w:val="a3"/>
        <w:shd w:val="clear" w:color="auto" w:fill="FFFFFF"/>
        <w:spacing w:before="0" w:beforeAutospacing="0" w:after="120" w:afterAutospacing="0"/>
        <w:jc w:val="both"/>
        <w:rPr>
          <w:i/>
          <w:color w:val="000000"/>
        </w:rPr>
      </w:pP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jc w:val="both"/>
        <w:rPr>
          <w:i/>
          <w:color w:val="000000"/>
        </w:rPr>
      </w:pPr>
      <w:r w:rsidRPr="00810B9D">
        <w:rPr>
          <w:i/>
          <w:color w:val="000000"/>
        </w:rPr>
        <w:t xml:space="preserve">Таблица 1. Шкала оценки уровней угрозы (частота возникновения).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71"/>
        <w:gridCol w:w="2800"/>
      </w:tblGrid>
      <w:tr w:rsidR="004F41CF" w:rsidRPr="00810B9D" w:rsidTr="00E9666B">
        <w:tc>
          <w:tcPr>
            <w:tcW w:w="6771" w:type="dxa"/>
          </w:tcPr>
          <w:p w:rsidR="004F41CF" w:rsidRPr="00810B9D" w:rsidRDefault="004F41CF" w:rsidP="00E9666B">
            <w:pPr>
              <w:pStyle w:val="a3"/>
              <w:spacing w:before="0" w:beforeAutospacing="0" w:after="0" w:afterAutospacing="0"/>
              <w:jc w:val="center"/>
              <w:rPr>
                <w:b/>
                <w:i/>
                <w:color w:val="000000"/>
              </w:rPr>
            </w:pPr>
            <w:r w:rsidRPr="00810B9D">
              <w:rPr>
                <w:b/>
                <w:i/>
                <w:color w:val="000000"/>
              </w:rPr>
              <w:t>Описание</w:t>
            </w:r>
          </w:p>
        </w:tc>
        <w:tc>
          <w:tcPr>
            <w:tcW w:w="2800" w:type="dxa"/>
          </w:tcPr>
          <w:p w:rsidR="004F41CF" w:rsidRPr="00810B9D" w:rsidRDefault="004F41CF" w:rsidP="00E9666B">
            <w:pPr>
              <w:pStyle w:val="a3"/>
              <w:spacing w:before="0" w:beforeAutospacing="0" w:after="0" w:afterAutospacing="0"/>
              <w:jc w:val="center"/>
              <w:rPr>
                <w:b/>
                <w:i/>
                <w:color w:val="000000"/>
              </w:rPr>
            </w:pPr>
            <w:r w:rsidRPr="00810B9D">
              <w:rPr>
                <w:b/>
                <w:i/>
                <w:color w:val="000000"/>
              </w:rPr>
              <w:t>Значение</w:t>
            </w:r>
          </w:p>
        </w:tc>
      </w:tr>
      <w:tr w:rsidR="004F41CF" w:rsidRPr="00810B9D" w:rsidTr="00E9666B">
        <w:tc>
          <w:tcPr>
            <w:tcW w:w="6771" w:type="dxa"/>
          </w:tcPr>
          <w:p w:rsidR="004F41CF" w:rsidRPr="00810B9D" w:rsidRDefault="004F41CF" w:rsidP="00E9666B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810B9D">
              <w:rPr>
                <w:color w:val="000000"/>
              </w:rPr>
              <w:t>инцидент происходит в среднем, не чаще, чем каждые 10 лет</w:t>
            </w:r>
          </w:p>
        </w:tc>
        <w:tc>
          <w:tcPr>
            <w:tcW w:w="2800" w:type="dxa"/>
          </w:tcPr>
          <w:p w:rsidR="004F41CF" w:rsidRPr="00810B9D" w:rsidRDefault="004F41CF" w:rsidP="00E9666B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810B9D">
              <w:rPr>
                <w:color w:val="000000"/>
              </w:rPr>
              <w:t>очень низкий</w:t>
            </w:r>
          </w:p>
        </w:tc>
      </w:tr>
      <w:tr w:rsidR="004F41CF" w:rsidRPr="00810B9D" w:rsidTr="00E9666B">
        <w:tc>
          <w:tcPr>
            <w:tcW w:w="6771" w:type="dxa"/>
          </w:tcPr>
          <w:p w:rsidR="004F41CF" w:rsidRPr="00810B9D" w:rsidRDefault="004F41CF" w:rsidP="00E9666B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810B9D">
              <w:rPr>
                <w:color w:val="000000"/>
              </w:rPr>
              <w:t>инцидент происходит в среднем один раз в 3 года</w:t>
            </w:r>
          </w:p>
        </w:tc>
        <w:tc>
          <w:tcPr>
            <w:tcW w:w="2800" w:type="dxa"/>
          </w:tcPr>
          <w:p w:rsidR="004F41CF" w:rsidRPr="00810B9D" w:rsidRDefault="004F41CF" w:rsidP="00E9666B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810B9D">
              <w:rPr>
                <w:color w:val="000000"/>
              </w:rPr>
              <w:t>низкий</w:t>
            </w:r>
          </w:p>
        </w:tc>
      </w:tr>
      <w:tr w:rsidR="004F41CF" w:rsidRPr="00810B9D" w:rsidTr="00E9666B">
        <w:tc>
          <w:tcPr>
            <w:tcW w:w="6771" w:type="dxa"/>
          </w:tcPr>
          <w:p w:rsidR="004F41CF" w:rsidRPr="00810B9D" w:rsidRDefault="004F41CF" w:rsidP="00E9666B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810B9D">
              <w:rPr>
                <w:color w:val="000000"/>
              </w:rPr>
              <w:t>инцидент происходит в среднем раз в год</w:t>
            </w:r>
          </w:p>
        </w:tc>
        <w:tc>
          <w:tcPr>
            <w:tcW w:w="2800" w:type="dxa"/>
          </w:tcPr>
          <w:p w:rsidR="004F41CF" w:rsidRPr="00810B9D" w:rsidRDefault="004F41CF" w:rsidP="00E9666B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810B9D">
              <w:rPr>
                <w:color w:val="000000"/>
              </w:rPr>
              <w:t>средний</w:t>
            </w:r>
          </w:p>
        </w:tc>
      </w:tr>
      <w:tr w:rsidR="004F41CF" w:rsidRPr="00810B9D" w:rsidTr="00E9666B">
        <w:tc>
          <w:tcPr>
            <w:tcW w:w="6771" w:type="dxa"/>
          </w:tcPr>
          <w:p w:rsidR="004F41CF" w:rsidRPr="00810B9D" w:rsidRDefault="004F41CF" w:rsidP="00E9666B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810B9D">
              <w:rPr>
                <w:color w:val="000000"/>
              </w:rPr>
              <w:t>инцидент происходит в среднем один раз в 4 месяца</w:t>
            </w:r>
          </w:p>
        </w:tc>
        <w:tc>
          <w:tcPr>
            <w:tcW w:w="2800" w:type="dxa"/>
          </w:tcPr>
          <w:p w:rsidR="004F41CF" w:rsidRPr="00810B9D" w:rsidRDefault="004F41CF" w:rsidP="00E9666B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810B9D">
              <w:rPr>
                <w:color w:val="000000"/>
              </w:rPr>
              <w:t>высокий</w:t>
            </w:r>
          </w:p>
        </w:tc>
      </w:tr>
      <w:tr w:rsidR="004F41CF" w:rsidRPr="00810B9D" w:rsidTr="00E9666B">
        <w:tc>
          <w:tcPr>
            <w:tcW w:w="6771" w:type="dxa"/>
          </w:tcPr>
          <w:p w:rsidR="004F41CF" w:rsidRPr="00810B9D" w:rsidRDefault="004F41CF" w:rsidP="00E9666B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810B9D">
              <w:rPr>
                <w:color w:val="000000"/>
              </w:rPr>
              <w:t>инцидент происходит в среднем раз в месяц</w:t>
            </w:r>
          </w:p>
        </w:tc>
        <w:tc>
          <w:tcPr>
            <w:tcW w:w="2800" w:type="dxa"/>
          </w:tcPr>
          <w:p w:rsidR="004F41CF" w:rsidRPr="00810B9D" w:rsidRDefault="004F41CF" w:rsidP="00E9666B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810B9D">
              <w:rPr>
                <w:color w:val="000000"/>
              </w:rPr>
              <w:t>очень высокий</w:t>
            </w:r>
          </w:p>
        </w:tc>
      </w:tr>
    </w:tbl>
    <w:p w:rsidR="004F41CF" w:rsidRDefault="004F41CF" w:rsidP="004F41CF">
      <w:pPr>
        <w:pStyle w:val="a3"/>
        <w:shd w:val="clear" w:color="auto" w:fill="FFFFFF"/>
        <w:spacing w:before="0" w:beforeAutospacing="0" w:after="120" w:afterAutospacing="0"/>
        <w:jc w:val="both"/>
        <w:rPr>
          <w:i/>
          <w:color w:val="000000"/>
        </w:rPr>
      </w:pP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jc w:val="both"/>
        <w:rPr>
          <w:i/>
          <w:color w:val="000000"/>
        </w:rPr>
      </w:pPr>
      <w:r w:rsidRPr="00810B9D">
        <w:rPr>
          <w:i/>
          <w:color w:val="000000"/>
        </w:rPr>
        <w:t>Таблица 2. Шкала оценки уровня уязвимости (вероятность успешной реализации угрозы).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71"/>
        <w:gridCol w:w="2800"/>
      </w:tblGrid>
      <w:tr w:rsidR="004F41CF" w:rsidRPr="00810B9D" w:rsidTr="00E9666B">
        <w:tc>
          <w:tcPr>
            <w:tcW w:w="6771" w:type="dxa"/>
          </w:tcPr>
          <w:p w:rsidR="004F41CF" w:rsidRPr="00810B9D" w:rsidRDefault="004F41CF" w:rsidP="00E9666B">
            <w:pPr>
              <w:pStyle w:val="a3"/>
              <w:spacing w:before="0" w:beforeAutospacing="0" w:after="0" w:afterAutospacing="0"/>
              <w:jc w:val="center"/>
              <w:rPr>
                <w:b/>
                <w:i/>
                <w:color w:val="000000"/>
              </w:rPr>
            </w:pPr>
            <w:r w:rsidRPr="00810B9D">
              <w:rPr>
                <w:b/>
                <w:i/>
                <w:color w:val="000000"/>
              </w:rPr>
              <w:t>Описание</w:t>
            </w:r>
          </w:p>
        </w:tc>
        <w:tc>
          <w:tcPr>
            <w:tcW w:w="2800" w:type="dxa"/>
          </w:tcPr>
          <w:p w:rsidR="004F41CF" w:rsidRPr="00810B9D" w:rsidRDefault="004F41CF" w:rsidP="00E9666B">
            <w:pPr>
              <w:pStyle w:val="a3"/>
              <w:spacing w:before="0" w:beforeAutospacing="0" w:after="0" w:afterAutospacing="0"/>
              <w:jc w:val="center"/>
              <w:rPr>
                <w:b/>
                <w:i/>
                <w:color w:val="000000"/>
              </w:rPr>
            </w:pPr>
            <w:r w:rsidRPr="00810B9D">
              <w:rPr>
                <w:b/>
                <w:i/>
                <w:color w:val="000000"/>
              </w:rPr>
              <w:t>Значение</w:t>
            </w:r>
          </w:p>
        </w:tc>
      </w:tr>
      <w:tr w:rsidR="004F41CF" w:rsidRPr="00810B9D" w:rsidTr="00E9666B">
        <w:tc>
          <w:tcPr>
            <w:tcW w:w="6771" w:type="dxa"/>
          </w:tcPr>
          <w:p w:rsidR="004F41CF" w:rsidRPr="00810B9D" w:rsidRDefault="004F41CF" w:rsidP="00E9666B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810B9D">
              <w:rPr>
                <w:color w:val="000000"/>
              </w:rPr>
              <w:t>В случае возникновения инцидента, вероятность развития событий низ по наихудшему сценарию меньше 0,33</w:t>
            </w:r>
          </w:p>
        </w:tc>
        <w:tc>
          <w:tcPr>
            <w:tcW w:w="2800" w:type="dxa"/>
          </w:tcPr>
          <w:p w:rsidR="004F41CF" w:rsidRPr="00810B9D" w:rsidRDefault="004F41CF" w:rsidP="00E9666B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810B9D">
              <w:rPr>
                <w:color w:val="000000"/>
              </w:rPr>
              <w:t>низкий</w:t>
            </w:r>
          </w:p>
        </w:tc>
      </w:tr>
      <w:tr w:rsidR="004F41CF" w:rsidRPr="00810B9D" w:rsidTr="00E9666B">
        <w:tc>
          <w:tcPr>
            <w:tcW w:w="6771" w:type="dxa"/>
          </w:tcPr>
          <w:p w:rsidR="004F41CF" w:rsidRPr="00810B9D" w:rsidRDefault="004F41CF" w:rsidP="00E9666B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810B9D">
              <w:rPr>
                <w:color w:val="000000"/>
              </w:rPr>
              <w:t xml:space="preserve">В случае возникновения инцидента, вероятность развития событий </w:t>
            </w:r>
            <w:proofErr w:type="spellStart"/>
            <w:r w:rsidRPr="00810B9D">
              <w:rPr>
                <w:color w:val="000000"/>
              </w:rPr>
              <w:t>сре</w:t>
            </w:r>
            <w:proofErr w:type="spellEnd"/>
            <w:r w:rsidRPr="00810B9D">
              <w:rPr>
                <w:color w:val="000000"/>
              </w:rPr>
              <w:t xml:space="preserve"> по наихудшему сценарию от 0,33 до 0,66</w:t>
            </w:r>
          </w:p>
        </w:tc>
        <w:tc>
          <w:tcPr>
            <w:tcW w:w="2800" w:type="dxa"/>
          </w:tcPr>
          <w:p w:rsidR="004F41CF" w:rsidRPr="00810B9D" w:rsidRDefault="004F41CF" w:rsidP="00E9666B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810B9D">
              <w:rPr>
                <w:color w:val="000000"/>
              </w:rPr>
              <w:t>средний</w:t>
            </w:r>
          </w:p>
        </w:tc>
      </w:tr>
      <w:tr w:rsidR="004F41CF" w:rsidRPr="00810B9D" w:rsidTr="00E9666B">
        <w:tc>
          <w:tcPr>
            <w:tcW w:w="6771" w:type="dxa"/>
          </w:tcPr>
          <w:p w:rsidR="004F41CF" w:rsidRPr="00810B9D" w:rsidRDefault="004F41CF" w:rsidP="00E9666B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810B9D">
              <w:rPr>
                <w:color w:val="000000"/>
              </w:rPr>
              <w:t>В случае возникновения инцидента, вероятность развития событий по наихудшему сценарию выше 0,66</w:t>
            </w:r>
          </w:p>
        </w:tc>
        <w:tc>
          <w:tcPr>
            <w:tcW w:w="2800" w:type="dxa"/>
          </w:tcPr>
          <w:p w:rsidR="004F41CF" w:rsidRPr="00810B9D" w:rsidRDefault="004F41CF" w:rsidP="00E9666B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810B9D">
              <w:rPr>
                <w:color w:val="000000"/>
              </w:rPr>
              <w:t>высокий</w:t>
            </w:r>
          </w:p>
        </w:tc>
      </w:tr>
    </w:tbl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Исходя из оценок стоимости ресурсов защищаемой ИС, оценок угроз и уязвимостей, определяются "ожидаемые годовые потери". На рис. 10 приведен пример матрицы оценки ожидаемый потерь. В ней второй столбец слева содержит значения стоимости ресурса, верхняя строка заголовка таблицы - оценку частоты возникновения угрозы в течение года (уровня угрозы), нижняя строка заголовка - оценку вероятности успеха реализации угрозы (уровня уязвимости).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jc w:val="both"/>
        <w:rPr>
          <w:b/>
          <w:i/>
          <w:color w:val="000000"/>
        </w:rPr>
      </w:pPr>
      <w:r w:rsidRPr="00810B9D">
        <w:rPr>
          <w:noProof/>
        </w:rPr>
        <w:drawing>
          <wp:inline distT="0" distB="0" distL="0" distR="0" wp14:anchorId="3E0A9BF7" wp14:editId="380E230E">
            <wp:extent cx="5832731" cy="162408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216" t="28235" r="13834" b="35196"/>
                    <a:stretch/>
                  </pic:blipFill>
                  <pic:spPr bwMode="auto">
                    <a:xfrm>
                      <a:off x="0" y="0"/>
                      <a:ext cx="5849079" cy="1628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b/>
          <w:i/>
          <w:color w:val="000000"/>
        </w:rPr>
      </w:pPr>
      <w:r w:rsidRPr="00810B9D">
        <w:rPr>
          <w:b/>
          <w:i/>
          <w:color w:val="000000"/>
        </w:rPr>
        <w:t xml:space="preserve">Рис. 10. Матрица ожидаемых годовых потерь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Значения ожидаемых годовых потерь (англ. </w:t>
      </w:r>
      <w:proofErr w:type="spellStart"/>
      <w:r w:rsidRPr="00810B9D">
        <w:rPr>
          <w:color w:val="000000"/>
        </w:rPr>
        <w:t>Annual</w:t>
      </w:r>
      <w:proofErr w:type="spellEnd"/>
      <w:r w:rsidRPr="00810B9D">
        <w:rPr>
          <w:color w:val="000000"/>
        </w:rPr>
        <w:t xml:space="preserve"> </w:t>
      </w:r>
      <w:proofErr w:type="spellStart"/>
      <w:r w:rsidRPr="00810B9D">
        <w:rPr>
          <w:color w:val="000000"/>
        </w:rPr>
        <w:t>Loss</w:t>
      </w:r>
      <w:proofErr w:type="spellEnd"/>
      <w:r w:rsidRPr="00810B9D">
        <w:rPr>
          <w:color w:val="000000"/>
        </w:rPr>
        <w:t xml:space="preserve"> </w:t>
      </w:r>
      <w:proofErr w:type="spellStart"/>
      <w:r w:rsidRPr="00810B9D">
        <w:rPr>
          <w:color w:val="000000"/>
        </w:rPr>
        <w:t>of</w:t>
      </w:r>
      <w:proofErr w:type="spellEnd"/>
      <w:r w:rsidRPr="00810B9D">
        <w:rPr>
          <w:color w:val="000000"/>
        </w:rPr>
        <w:t xml:space="preserve"> </w:t>
      </w:r>
      <w:proofErr w:type="spellStart"/>
      <w:r w:rsidRPr="00810B9D">
        <w:rPr>
          <w:color w:val="000000"/>
        </w:rPr>
        <w:t>Expectancy</w:t>
      </w:r>
      <w:proofErr w:type="spellEnd"/>
      <w:r w:rsidRPr="00810B9D">
        <w:rPr>
          <w:color w:val="000000"/>
        </w:rPr>
        <w:t xml:space="preserve">) переводятся в CRAMM в баллы, показывающие уровень риска, согласно шкале, представленной на рис. 11 (в этом примере размер потерь приводится в фунтах стерлингов).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noProof/>
        </w:rPr>
        <w:lastRenderedPageBreak/>
        <w:drawing>
          <wp:inline distT="0" distB="0" distL="0" distR="0" wp14:anchorId="594A9808" wp14:editId="1DB73F0E">
            <wp:extent cx="2620370" cy="1733159"/>
            <wp:effectExtent l="0" t="0" r="889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855" t="43530" r="54964" b="23529"/>
                    <a:stretch/>
                  </pic:blipFill>
                  <pic:spPr bwMode="auto">
                    <a:xfrm>
                      <a:off x="0" y="0"/>
                      <a:ext cx="2620708" cy="1733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b/>
          <w:i/>
          <w:color w:val="000000"/>
        </w:rPr>
        <w:t>Рис. 11 Шкала оценки уровня рисков</w:t>
      </w:r>
      <w:r w:rsidRPr="00810B9D">
        <w:rPr>
          <w:color w:val="000000"/>
        </w:rPr>
        <w:t xml:space="preserve">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В соответствии с приведенной ниже матрицей, выводится оценка риска (рис. </w:t>
      </w:r>
      <w:proofErr w:type="gramStart"/>
      <w:r w:rsidRPr="00810B9D">
        <w:rPr>
          <w:color w:val="000000"/>
        </w:rPr>
        <w:t xml:space="preserve">12) </w:t>
      </w:r>
      <w:proofErr w:type="gramEnd"/>
      <w:r w:rsidRPr="00810B9D">
        <w:rPr>
          <w:color w:val="000000"/>
        </w:rPr>
        <w:t xml:space="preserve">уровни рисков рассчитываются в дискретной шкале с градациями от 1 до 7 (этап анализа рисков). Полученные уровни угроз, уязвимостей и рисков анализируются и согласовываются с заказчиком. Только после этого можно переходить к заключительной стадии метода.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810B9D">
        <w:rPr>
          <w:noProof/>
        </w:rPr>
        <w:drawing>
          <wp:inline distT="0" distB="0" distL="0" distR="0" wp14:anchorId="073C5797" wp14:editId="30F900F1">
            <wp:extent cx="5880818" cy="1897038"/>
            <wp:effectExtent l="0" t="0" r="571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246" t="46667" r="14524" b="14117"/>
                    <a:stretch/>
                  </pic:blipFill>
                  <pic:spPr bwMode="auto">
                    <a:xfrm>
                      <a:off x="0" y="0"/>
                      <a:ext cx="5881577" cy="1897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b/>
          <w:i/>
          <w:color w:val="000000"/>
        </w:rPr>
      </w:pPr>
      <w:r w:rsidRPr="00810B9D">
        <w:rPr>
          <w:b/>
          <w:i/>
          <w:color w:val="000000"/>
        </w:rPr>
        <w:t xml:space="preserve">Рис. 13 Матрица оценки риска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Третья стадия исследования заключается в поиске адекватных контрмер. По существу, это поиск варианта системы безопасности, наилучшим образом удовлетворяющей требованиям заказчика.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На этом этапе CRAMM генерирует несколько вариантов мер противодействия, адекватных выявленным рискам и их уровням. Контрмеры разбиваются на группы и подгруппы по следующим категориям: </w:t>
      </w:r>
    </w:p>
    <w:p w:rsidR="004F41CF" w:rsidRPr="00810B9D" w:rsidRDefault="004F41CF" w:rsidP="004F41CF">
      <w:pPr>
        <w:pStyle w:val="a3"/>
        <w:numPr>
          <w:ilvl w:val="0"/>
          <w:numId w:val="3"/>
        </w:numPr>
        <w:shd w:val="clear" w:color="auto" w:fill="FFFFFF"/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810B9D">
        <w:rPr>
          <w:color w:val="000000"/>
        </w:rPr>
        <w:t xml:space="preserve">Обеспечение безопасности на сетевом уровне. </w:t>
      </w:r>
    </w:p>
    <w:p w:rsidR="004F41CF" w:rsidRPr="00810B9D" w:rsidRDefault="004F41CF" w:rsidP="004F41CF">
      <w:pPr>
        <w:pStyle w:val="a3"/>
        <w:numPr>
          <w:ilvl w:val="0"/>
          <w:numId w:val="3"/>
        </w:numPr>
        <w:shd w:val="clear" w:color="auto" w:fill="FFFFFF"/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810B9D">
        <w:rPr>
          <w:color w:val="000000"/>
        </w:rPr>
        <w:t xml:space="preserve">Обеспечение физической безопасности. </w:t>
      </w:r>
    </w:p>
    <w:p w:rsidR="004F41CF" w:rsidRPr="00810B9D" w:rsidRDefault="004F41CF" w:rsidP="004F41CF">
      <w:pPr>
        <w:pStyle w:val="a3"/>
        <w:numPr>
          <w:ilvl w:val="0"/>
          <w:numId w:val="3"/>
        </w:numPr>
        <w:shd w:val="clear" w:color="auto" w:fill="FFFFFF"/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810B9D">
        <w:rPr>
          <w:color w:val="000000"/>
        </w:rPr>
        <w:t xml:space="preserve">Обеспечение безопасности поддерживающей инфраструктуры. </w:t>
      </w:r>
    </w:p>
    <w:p w:rsidR="004F41CF" w:rsidRPr="00810B9D" w:rsidRDefault="004F41CF" w:rsidP="004F41CF">
      <w:pPr>
        <w:pStyle w:val="a3"/>
        <w:numPr>
          <w:ilvl w:val="0"/>
          <w:numId w:val="3"/>
        </w:numPr>
        <w:shd w:val="clear" w:color="auto" w:fill="FFFFFF"/>
        <w:spacing w:before="0" w:beforeAutospacing="0" w:after="120" w:afterAutospacing="0"/>
        <w:ind w:left="0" w:firstLine="709"/>
        <w:jc w:val="both"/>
        <w:rPr>
          <w:color w:val="000000"/>
        </w:rPr>
      </w:pPr>
      <w:r w:rsidRPr="00810B9D">
        <w:rPr>
          <w:color w:val="000000"/>
        </w:rPr>
        <w:t xml:space="preserve">Меры безопасности на уровне системного администратора.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В результате выполнения данного этапа формируется несколько видов отчетов.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Таким образом, рассмотренная методика анализа и управления рисками полностью применима и в наших условиях, несмотря на то, что показатели защищенности от НСД к информации и требования по защите информации различаются в украинских нормативных документах и зарубежных стандартах. Особенно полезным представляется использование инструментальных средств типа метода CRAMM при проведении анализа рисков информационных систем с повышенными требованиями в области ИБ. Это позволяет получать обоснованные оценки существующих и допустимых уровней угроз, уязвимостей, эффективности защиты.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b/>
          <w:color w:val="000000"/>
        </w:rPr>
        <w:lastRenderedPageBreak/>
        <w:t>CRAMM как инструментарий аудитора</w:t>
      </w:r>
      <w:r w:rsidRPr="00810B9D">
        <w:rPr>
          <w:color w:val="000000"/>
        </w:rPr>
        <w:t xml:space="preserve">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>CRAMM имеет средства генерации отчетов, необходимые при проведен</w:t>
      </w:r>
      <w:proofErr w:type="gramStart"/>
      <w:r w:rsidRPr="00810B9D">
        <w:rPr>
          <w:color w:val="000000"/>
        </w:rPr>
        <w:t>ии ау</w:t>
      </w:r>
      <w:proofErr w:type="gramEnd"/>
      <w:r w:rsidRPr="00810B9D">
        <w:rPr>
          <w:color w:val="000000"/>
        </w:rPr>
        <w:t xml:space="preserve">дита информационной безопасности в соответствии с BS 7799 (ISO 17799).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Это следующие отчеты: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- политика информационной безопасности;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- система управления информационной безопасностью;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- план обеспечения бесперебойной работы;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>- ведомость соответствия.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 Метод CRAMM в настоящее время применяется наиболее часто, если требуется провести аудит в соответствии с требованиями Британского стандарта.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Его достоинства заключаются в использовании технологии оценки угроз и уязвимостей по косвенным факторам с возможностью верификации результатов, удобной системе моделирования информационной системы с позиции безопасности, обширной базе данных по контрмерам. Этот метод - самый «мощный» и самый трудоемкий из рассмотренных в настоящем обзоре, он позволяет весьма детально оценить риски и различные варианты контрмер.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Его недостаток с позиции отечественного потребителя состоит в сложности русификации и большом объеме выходных документов (сотни страниц). Аналитик (аудитор) обычно вынужден на основе полученных документов сам писать отчет для заказчика. </w:t>
      </w:r>
    </w:p>
    <w:p w:rsidR="004F41CF" w:rsidRPr="00810B9D" w:rsidRDefault="004F41CF" w:rsidP="004F41C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</w:rPr>
      </w:pPr>
      <w:r w:rsidRPr="00810B9D">
        <w:rPr>
          <w:color w:val="000000"/>
        </w:rPr>
        <w:t xml:space="preserve">Таким образом, CRAMM – пример методики расчета, при которой первоначальные оценки даются на качественном уровне, и потом производится переход к количественной оценке (в баллах). </w:t>
      </w:r>
    </w:p>
    <w:p w:rsidR="0037373A" w:rsidRDefault="0037373A" w:rsidP="004F41CF"/>
    <w:sectPr w:rsidR="003737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844B5"/>
    <w:multiLevelType w:val="hybridMultilevel"/>
    <w:tmpl w:val="467A2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5710BD"/>
    <w:multiLevelType w:val="hybridMultilevel"/>
    <w:tmpl w:val="CA5CE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FB1636"/>
    <w:multiLevelType w:val="hybridMultilevel"/>
    <w:tmpl w:val="7BA84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1CF"/>
    <w:rsid w:val="0037373A"/>
    <w:rsid w:val="004F41CF"/>
    <w:rsid w:val="007A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4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F41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F4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41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4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F41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F4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41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3261</Words>
  <Characters>18590</Characters>
  <Application>Microsoft Office Word</Application>
  <DocSecurity>0</DocSecurity>
  <Lines>154</Lines>
  <Paragraphs>43</Paragraphs>
  <ScaleCrop>false</ScaleCrop>
  <Company/>
  <LinksUpToDate>false</LinksUpToDate>
  <CharactersWithSpaces>21808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</dc:creator>
  <cp:lastModifiedBy>СВ</cp:lastModifiedBy>
  <cp:revision>1</cp:revision>
  <dcterms:created xsi:type="dcterms:W3CDTF">2021-03-09T13:35:00Z</dcterms:created>
  <dcterms:modified xsi:type="dcterms:W3CDTF">2021-03-09T13:37:00Z</dcterms:modified>
</cp:coreProperties>
</file>